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78" w:rsidRPr="005F5541" w:rsidRDefault="00FD3A29" w:rsidP="00FD3A29">
      <w:pPr>
        <w:spacing w:after="0" w:line="240" w:lineRule="auto"/>
        <w:jc w:val="center"/>
        <w:rPr>
          <w:b/>
          <w:sz w:val="34"/>
          <w:szCs w:val="34"/>
          <w:lang w:val="sr-Cyrl-BA"/>
        </w:rPr>
      </w:pPr>
      <w:bookmarkStart w:id="0" w:name="_GoBack"/>
      <w:bookmarkEnd w:id="0"/>
      <w:r w:rsidRPr="005F5541">
        <w:rPr>
          <w:b/>
          <w:sz w:val="34"/>
          <w:szCs w:val="34"/>
          <w:lang w:val="sr-Cyrl-BA"/>
        </w:rPr>
        <w:t>И</w:t>
      </w:r>
      <w:r w:rsidR="005024CA" w:rsidRPr="005F5541">
        <w:rPr>
          <w:b/>
          <w:sz w:val="34"/>
          <w:szCs w:val="34"/>
          <w:lang w:val="sr-Cyrl-BA"/>
        </w:rPr>
        <w:t>нвестициони окви</w:t>
      </w:r>
      <w:r w:rsidR="0094027F">
        <w:rPr>
          <w:b/>
          <w:sz w:val="34"/>
          <w:szCs w:val="34"/>
          <w:lang w:val="sr-Cyrl-BA"/>
        </w:rPr>
        <w:t>р за Западни Балкан (WBIF) - 21</w:t>
      </w:r>
      <w:r w:rsidR="0053380F">
        <w:rPr>
          <w:b/>
          <w:sz w:val="34"/>
          <w:szCs w:val="34"/>
          <w:lang w:val="sr-Cyrl-BA"/>
        </w:rPr>
        <w:t xml:space="preserve">. </w:t>
      </w:r>
      <w:r w:rsidR="0094027F">
        <w:rPr>
          <w:b/>
          <w:sz w:val="34"/>
          <w:szCs w:val="34"/>
        </w:rPr>
        <w:t>TA</w:t>
      </w:r>
      <w:r w:rsidR="005024CA" w:rsidRPr="005F5541">
        <w:rPr>
          <w:b/>
          <w:sz w:val="34"/>
          <w:szCs w:val="34"/>
          <w:lang w:val="sr-Cyrl-BA"/>
        </w:rPr>
        <w:t xml:space="preserve"> позив</w:t>
      </w:r>
    </w:p>
    <w:p w:rsidR="00E070E8" w:rsidRDefault="005024CA" w:rsidP="00FD3A29">
      <w:pPr>
        <w:spacing w:after="0" w:line="240" w:lineRule="auto"/>
        <w:ind w:left="29"/>
        <w:rPr>
          <w:lang w:val="sr-Cyrl-BA"/>
        </w:rPr>
      </w:pPr>
      <w:r w:rsidRPr="005F5541">
        <w:rPr>
          <w:lang w:val="sr-Cyrl-BA"/>
        </w:rPr>
        <w:t xml:space="preserve">Инструкција за </w:t>
      </w:r>
      <w:r w:rsidR="00E070E8" w:rsidRPr="005F5541">
        <w:rPr>
          <w:lang w:val="sr-Cyrl-BA"/>
        </w:rPr>
        <w:t xml:space="preserve">спровођење процеса израде и кандидовања </w:t>
      </w:r>
      <w:r w:rsidRPr="005F5541">
        <w:rPr>
          <w:lang w:val="sr-Cyrl-BA"/>
        </w:rPr>
        <w:t>грант</w:t>
      </w:r>
      <w:r w:rsidR="00FD3A29" w:rsidRPr="005F5541">
        <w:rPr>
          <w:lang w:val="sr-Cyrl-BA"/>
        </w:rPr>
        <w:t xml:space="preserve"> апликација у </w:t>
      </w:r>
      <w:r w:rsidR="00E070E8" w:rsidRPr="005F5541">
        <w:rPr>
          <w:lang w:val="sr-Cyrl-BA"/>
        </w:rPr>
        <w:t>Републици Српској</w:t>
      </w:r>
    </w:p>
    <w:p w:rsidR="005F5541" w:rsidRPr="00E070E8" w:rsidRDefault="005F5541" w:rsidP="00FD3A29">
      <w:pPr>
        <w:spacing w:after="0" w:line="240" w:lineRule="auto"/>
        <w:ind w:left="29"/>
        <w:rPr>
          <w:lang w:val="sr-Cyrl-BA"/>
        </w:rPr>
      </w:pPr>
    </w:p>
    <w:tbl>
      <w:tblPr>
        <w:tblStyle w:val="TableGrid"/>
        <w:tblW w:w="9350" w:type="dxa"/>
        <w:tblInd w:w="5" w:type="dxa"/>
        <w:tblLayout w:type="fixed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4"/>
        <w:gridCol w:w="1223"/>
        <w:gridCol w:w="24"/>
        <w:gridCol w:w="6529"/>
        <w:gridCol w:w="24"/>
        <w:gridCol w:w="1502"/>
        <w:gridCol w:w="24"/>
      </w:tblGrid>
      <w:tr w:rsidR="00D715C4" w:rsidRPr="00E070E8" w:rsidTr="0094027F">
        <w:trPr>
          <w:gridAfter w:val="1"/>
          <w:wAfter w:w="24" w:type="dxa"/>
          <w:trHeight w:val="547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D715C4" w:rsidRDefault="00D715C4" w:rsidP="00D715C4">
            <w:pPr>
              <w:ind w:right="48"/>
              <w:jc w:val="center"/>
              <w:rPr>
                <w:b/>
                <w:lang w:val="sr-Cyrl-BA"/>
              </w:rPr>
            </w:pPr>
            <w:r w:rsidRPr="00D715C4">
              <w:rPr>
                <w:b/>
                <w:lang w:val="sr-Cyrl-BA"/>
              </w:rPr>
              <w:t xml:space="preserve">Рок 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FD3A29">
            <w:pPr>
              <w:ind w:right="48"/>
              <w:jc w:val="center"/>
              <w:rPr>
                <w:lang w:val="sr-Cyrl-BA"/>
              </w:rPr>
            </w:pPr>
            <w:r w:rsidRPr="00E070E8">
              <w:rPr>
                <w:b/>
                <w:lang w:val="sr-Cyrl-BA"/>
              </w:rPr>
              <w:t>Активност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E070E8">
            <w:pPr>
              <w:ind w:right="44"/>
              <w:jc w:val="center"/>
              <w:rPr>
                <w:lang w:val="sr-Cyrl-BA"/>
              </w:rPr>
            </w:pPr>
            <w:r w:rsidRPr="00E070E8">
              <w:rPr>
                <w:b/>
                <w:lang w:val="sr-Cyrl-BA"/>
              </w:rPr>
              <w:t>Фаза</w:t>
            </w:r>
          </w:p>
        </w:tc>
      </w:tr>
      <w:tr w:rsidR="00D715C4" w:rsidRPr="00E070E8" w:rsidTr="0094027F">
        <w:trPr>
          <w:gridAfter w:val="1"/>
          <w:wAfter w:w="24" w:type="dxa"/>
          <w:trHeight w:val="1266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5C4" w:rsidRPr="00D715C4" w:rsidRDefault="0094027F" w:rsidP="0094027F">
            <w:pPr>
              <w:ind w:right="47"/>
              <w:jc w:val="center"/>
              <w:rPr>
                <w:color w:val="auto"/>
                <w:lang w:val="sr-Cyrl-BA"/>
              </w:rPr>
            </w:pPr>
            <w:r>
              <w:rPr>
                <w:color w:val="auto"/>
                <w:lang w:val="sr-Cyrl-BA"/>
              </w:rPr>
              <w:t>24</w:t>
            </w:r>
            <w:r w:rsidR="00D715C4">
              <w:rPr>
                <w:color w:val="auto"/>
                <w:lang w:val="sr-Cyrl-BA"/>
              </w:rPr>
              <w:t xml:space="preserve">. </w:t>
            </w:r>
            <w:r>
              <w:rPr>
                <w:color w:val="auto"/>
                <w:lang w:val="sr-Cyrl-BA"/>
              </w:rPr>
              <w:t>децембар</w:t>
            </w:r>
            <w:r w:rsidR="00D715C4">
              <w:rPr>
                <w:color w:val="auto"/>
                <w:lang w:val="sr-Cyrl-BA"/>
              </w:rPr>
              <w:t xml:space="preserve"> 2018.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5C4" w:rsidRPr="00B40384" w:rsidRDefault="00D715C4" w:rsidP="00D715C4">
            <w:pPr>
              <w:ind w:right="47"/>
              <w:jc w:val="both"/>
              <w:rPr>
                <w:strike/>
                <w:color w:val="FF0000"/>
                <w:lang w:val="sr-Cyrl-BA"/>
              </w:rPr>
            </w:pPr>
            <w:r w:rsidRPr="00E070E8">
              <w:rPr>
                <w:lang w:val="sr-Cyrl-BA"/>
              </w:rPr>
              <w:t>МЕОРС</w:t>
            </w:r>
            <w:r w:rsidRPr="00E070E8">
              <w:rPr>
                <w:color w:val="FF0000"/>
                <w:lang w:val="sr-Cyrl-BA"/>
              </w:rPr>
              <w:t xml:space="preserve"> </w:t>
            </w:r>
            <w:r>
              <w:rPr>
                <w:color w:val="000000" w:themeColor="text1"/>
                <w:lang w:val="sr-Cyrl-BA"/>
              </w:rPr>
              <w:t>доставља</w:t>
            </w:r>
            <w:r>
              <w:rPr>
                <w:color w:val="000000" w:themeColor="text1"/>
                <w:lang w:val="sr-Latn-BA"/>
              </w:rPr>
              <w:t>,</w:t>
            </w:r>
            <w:r>
              <w:rPr>
                <w:color w:val="000000" w:themeColor="text1"/>
                <w:lang w:val="sr-Cyrl-BA"/>
              </w:rPr>
              <w:t xml:space="preserve"> посредством службеног дописа и електронске поште</w:t>
            </w:r>
            <w:r>
              <w:rPr>
                <w:color w:val="000000" w:themeColor="text1"/>
                <w:lang w:val="sr-Latn-BA"/>
              </w:rPr>
              <w:t>,</w:t>
            </w:r>
            <w:r>
              <w:rPr>
                <w:color w:val="000000" w:themeColor="text1"/>
                <w:lang w:val="sr-Cyrl-BA"/>
              </w:rPr>
              <w:t xml:space="preserve"> </w:t>
            </w:r>
            <w:r w:rsidRPr="00E070E8">
              <w:rPr>
                <w:color w:val="000000" w:themeColor="text1"/>
                <w:lang w:val="sr-Cyrl-BA"/>
              </w:rPr>
              <w:t>ре</w:t>
            </w:r>
            <w:r>
              <w:rPr>
                <w:color w:val="000000" w:themeColor="text1"/>
                <w:lang w:val="sr-Cyrl-BA"/>
              </w:rPr>
              <w:t>сорним</w:t>
            </w:r>
            <w:r w:rsidRPr="00E070E8">
              <w:rPr>
                <w:color w:val="000000" w:themeColor="text1"/>
                <w:lang w:val="sr-Cyrl-BA"/>
              </w:rPr>
              <w:t xml:space="preserve"> министарствима</w:t>
            </w:r>
            <w:r w:rsidRPr="00E070E8">
              <w:rPr>
                <w:color w:val="FF0000"/>
                <w:lang w:val="sr-Cyrl-BA"/>
              </w:rPr>
              <w:t xml:space="preserve"> </w:t>
            </w:r>
            <w:r>
              <w:rPr>
                <w:color w:val="auto"/>
                <w:lang w:val="sr-Cyrl-BA"/>
              </w:rPr>
              <w:t xml:space="preserve">у Влади Републике Српске, </w:t>
            </w:r>
            <w:r w:rsidRPr="00E070E8">
              <w:rPr>
                <w:color w:val="auto"/>
                <w:lang w:val="sr-Cyrl-BA"/>
              </w:rPr>
              <w:t xml:space="preserve">и другим релевантним </w:t>
            </w:r>
            <w:r>
              <w:rPr>
                <w:color w:val="auto"/>
                <w:lang w:val="sr-Cyrl-BA"/>
              </w:rPr>
              <w:t>потенцијалним апликантима</w:t>
            </w:r>
            <w:r w:rsidRPr="00E070E8">
              <w:rPr>
                <w:color w:val="auto"/>
                <w:lang w:val="sr-Cyrl-BA"/>
              </w:rPr>
              <w:t xml:space="preserve"> у Републици Српској</w:t>
            </w:r>
            <w:r>
              <w:rPr>
                <w:color w:val="auto"/>
                <w:lang w:val="sr-Latn-BA"/>
              </w:rPr>
              <w:t>,</w:t>
            </w:r>
            <w:r w:rsidRPr="00E070E8">
              <w:rPr>
                <w:color w:val="auto"/>
                <w:lang w:val="sr-Cyrl-BA"/>
              </w:rPr>
              <w:t xml:space="preserve"> позив за достављање нацрта грант апликација са пратећом документацијом</w:t>
            </w:r>
            <w:r>
              <w:rPr>
                <w:color w:val="auto"/>
                <w:lang w:val="sr-Cyrl-BA"/>
              </w:rPr>
              <w:t xml:space="preserve"> и упутама за поступање</w:t>
            </w:r>
            <w:r w:rsidRPr="00E070E8">
              <w:rPr>
                <w:color w:val="auto"/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 xml:space="preserve">Фаза 1 </w:t>
            </w:r>
          </w:p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Достављање позива за грант апликације</w:t>
            </w:r>
          </w:p>
        </w:tc>
      </w:tr>
      <w:tr w:rsidR="00D715C4" w:rsidRPr="00E070E8" w:rsidTr="0094027F">
        <w:trPr>
          <w:gridAfter w:val="1"/>
          <w:wAfter w:w="24" w:type="dxa"/>
          <w:trHeight w:val="1085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5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5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Ресорна министарства у Влади Републике Српске достављају </w:t>
            </w:r>
            <w:r w:rsidRPr="00E070E8">
              <w:rPr>
                <w:color w:val="auto"/>
                <w:lang w:val="sr-Cyrl-BA"/>
              </w:rPr>
              <w:t>позив за достављање нацрта грант апликација са пратећом документацијом</w:t>
            </w:r>
            <w:r>
              <w:rPr>
                <w:color w:val="auto"/>
                <w:lang w:val="sr-Cyrl-BA"/>
              </w:rPr>
              <w:t xml:space="preserve"> и упутама за поступање потенцијалним апликантима</w:t>
            </w:r>
            <w:r w:rsidRPr="00E070E8">
              <w:rPr>
                <w:color w:val="auto"/>
                <w:lang w:val="sr-Cyrl-BA"/>
              </w:rPr>
              <w:t xml:space="preserve"> </w:t>
            </w:r>
            <w:r>
              <w:rPr>
                <w:color w:val="auto"/>
                <w:lang w:val="sr-Cyrl-BA"/>
              </w:rPr>
              <w:t>из</w:t>
            </w:r>
            <w:r w:rsidRPr="00E070E8">
              <w:rPr>
                <w:color w:val="auto"/>
                <w:lang w:val="sr-Cyrl-BA"/>
              </w:rPr>
              <w:t xml:space="preserve"> Републи</w:t>
            </w:r>
            <w:r>
              <w:rPr>
                <w:color w:val="auto"/>
                <w:lang w:val="sr-Cyrl-BA"/>
              </w:rPr>
              <w:t>ке</w:t>
            </w:r>
            <w:r w:rsidRPr="00E070E8">
              <w:rPr>
                <w:color w:val="auto"/>
                <w:lang w:val="sr-Cyrl-BA"/>
              </w:rPr>
              <w:t xml:space="preserve"> Српск</w:t>
            </w:r>
            <w:r>
              <w:rPr>
                <w:color w:val="auto"/>
                <w:lang w:val="sr-Cyrl-BA"/>
              </w:rPr>
              <w:t>е из своје ресорне надлежности</w:t>
            </w:r>
            <w:r w:rsidRPr="00E070E8">
              <w:rPr>
                <w:color w:val="auto"/>
                <w:lang w:val="sr-Cyrl-BA"/>
              </w:rPr>
              <w:t>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rPr>
          <w:gridAfter w:val="1"/>
          <w:wAfter w:w="24" w:type="dxa"/>
          <w:trHeight w:val="1392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9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9"/>
              <w:jc w:val="both"/>
              <w:rPr>
                <w:lang w:val="sr-Cyrl-BA"/>
              </w:rPr>
            </w:pPr>
            <w:r>
              <w:rPr>
                <w:lang w:val="sr-Cyrl-BA"/>
              </w:rPr>
              <w:t>Апликанти из Републике Српске</w:t>
            </w:r>
            <w:r w:rsidRPr="00E070E8">
              <w:rPr>
                <w:lang w:val="sr-Cyrl-BA"/>
              </w:rPr>
              <w:t xml:space="preserve"> по завршетку израде нацрта грант апликације у сарадњи са водећом међународном финансијском институцијом, која треба</w:t>
            </w:r>
            <w:r>
              <w:rPr>
                <w:lang w:val="sr-Cyrl-BA"/>
              </w:rPr>
              <w:t xml:space="preserve"> да</w:t>
            </w:r>
            <w:r w:rsidRPr="00E070E8">
              <w:rPr>
                <w:lang w:val="sr-Cyrl-BA"/>
              </w:rPr>
              <w:t xml:space="preserve"> изрази подршку предлагању грант апликације</w:t>
            </w:r>
            <w:r>
              <w:rPr>
                <w:lang w:val="sr-Latn-BA"/>
              </w:rPr>
              <w:t>,</w:t>
            </w:r>
            <w:r w:rsidRPr="00E070E8">
              <w:rPr>
                <w:lang w:val="sr-Cyrl-BA"/>
              </w:rPr>
              <w:t xml:space="preserve"> достављају апликације релевантном републичком министарству. 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Фаза 2</w:t>
            </w:r>
          </w:p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Израда и достављање нацрта грант апликација</w:t>
            </w:r>
          </w:p>
        </w:tc>
      </w:tr>
      <w:tr w:rsidR="00D715C4" w:rsidRPr="00E070E8" w:rsidTr="0094027F">
        <w:trPr>
          <w:gridAfter w:val="1"/>
          <w:wAfter w:w="24" w:type="dxa"/>
          <w:trHeight w:val="1104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94027F" w:rsidP="0094027F">
            <w:pPr>
              <w:ind w:right="46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151309">
              <w:rPr>
                <w:lang w:val="sr-Cyrl-BA"/>
              </w:rPr>
              <w:t xml:space="preserve">1. </w:t>
            </w:r>
            <w:r>
              <w:rPr>
                <w:lang w:val="sr-Cyrl-BA"/>
              </w:rPr>
              <w:t>јануар 2019</w:t>
            </w:r>
            <w:r w:rsidR="00151309">
              <w:rPr>
                <w:lang w:val="sr-Cyrl-BA"/>
              </w:rPr>
              <w:t>.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6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>Министарства у Влади Републике Српске достављају нацрте грант апликација</w:t>
            </w:r>
            <w:r w:rsidR="007E46AC">
              <w:rPr>
                <w:lang w:val="sr-Cyrl-BA"/>
              </w:rPr>
              <w:t xml:space="preserve"> апликаната из Републике Српске</w:t>
            </w:r>
            <w:r w:rsidRPr="00E070E8">
              <w:rPr>
                <w:lang w:val="sr-Cyrl-BA"/>
              </w:rPr>
              <w:t xml:space="preserve"> републичком координатору </w:t>
            </w:r>
            <w:r>
              <w:rPr>
                <w:lang w:val="sr-Cyrl-BA"/>
              </w:rPr>
              <w:t xml:space="preserve">- </w:t>
            </w:r>
            <w:r w:rsidRPr="00E070E8">
              <w:rPr>
                <w:lang w:val="sr-Cyrl-BA"/>
              </w:rPr>
              <w:t>МЕОРС-у</w:t>
            </w:r>
            <w:r>
              <w:rPr>
                <w:lang w:val="sr-Cyrl-BA"/>
              </w:rPr>
              <w:t xml:space="preserve"> а копија се доставља и Министарству финансија </w:t>
            </w:r>
            <w:r w:rsidRPr="00E070E8">
              <w:rPr>
                <w:lang w:val="sr-Cyrl-BA"/>
              </w:rPr>
              <w:t xml:space="preserve">Републике Српске.  </w:t>
            </w: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rPr>
          <w:gridAfter w:val="1"/>
          <w:wAfter w:w="24" w:type="dxa"/>
          <w:trHeight w:val="1104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94027F" w:rsidP="0094027F">
            <w:pPr>
              <w:ind w:right="45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E46AC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фебруар 2019</w:t>
            </w:r>
            <w:r w:rsidR="007E46AC">
              <w:rPr>
                <w:lang w:val="sr-Cyrl-BA"/>
              </w:rPr>
              <w:t>.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5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 xml:space="preserve">МЕОРС доставља </w:t>
            </w:r>
            <w:r>
              <w:rPr>
                <w:lang w:val="sr-Cyrl-BA"/>
              </w:rPr>
              <w:t>нацрте грант апликација</w:t>
            </w:r>
            <w:r w:rsidRPr="00E070E8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апликаната </w:t>
            </w:r>
            <w:r w:rsidRPr="00E070E8">
              <w:rPr>
                <w:lang w:val="sr-Cyrl-BA"/>
              </w:rPr>
              <w:t>из Републике Српске, које испуњавају основне критерије WBIF-а, Дирекцији за европске интеграције посредством електронске поште</w:t>
            </w:r>
            <w:r>
              <w:rPr>
                <w:lang w:val="sr-Cyrl-BA"/>
              </w:rPr>
              <w:t xml:space="preserve"> (у копију </w:t>
            </w:r>
            <w:r w:rsidRPr="00E070E8">
              <w:rPr>
                <w:lang w:val="sr-Cyrl-BA"/>
              </w:rPr>
              <w:t>министарств</w:t>
            </w:r>
            <w:r>
              <w:rPr>
                <w:lang w:val="sr-Cyrl-BA"/>
              </w:rPr>
              <w:t>о</w:t>
            </w:r>
            <w:r w:rsidRPr="00E070E8">
              <w:rPr>
                <w:lang w:val="sr-Cyrl-BA"/>
              </w:rPr>
              <w:t xml:space="preserve"> на нивоу БиХ</w:t>
            </w:r>
            <w:r>
              <w:rPr>
                <w:lang w:val="sr-Cyrl-BA"/>
              </w:rPr>
              <w:t>)</w:t>
            </w:r>
            <w:r w:rsidRPr="00E070E8">
              <w:rPr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rPr>
          <w:gridAfter w:val="1"/>
          <w:wAfter w:w="24" w:type="dxa"/>
          <w:trHeight w:val="87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7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7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МЕОРС </w:t>
            </w:r>
            <w:r w:rsidRPr="00E070E8">
              <w:rPr>
                <w:lang w:val="sr-Cyrl-BA"/>
              </w:rPr>
              <w:t>доставља коментаре (ДЕИ и WBIF</w:t>
            </w:r>
            <w:r>
              <w:rPr>
                <w:lang w:val="sr-Cyrl-BA"/>
              </w:rPr>
              <w:t xml:space="preserve"> Канцеларије/</w:t>
            </w:r>
            <w:r>
              <w:rPr>
                <w:lang w:val="sr-Latn-BA"/>
              </w:rPr>
              <w:t>IFICO</w:t>
            </w:r>
            <w:r w:rsidRPr="00E070E8">
              <w:rPr>
                <w:lang w:val="sr-Cyrl-BA"/>
              </w:rPr>
              <w:t xml:space="preserve">) на грант апликације које задовољавају критерије </w:t>
            </w:r>
            <w:r>
              <w:rPr>
                <w:lang w:val="sr-Cyrl-BA"/>
              </w:rPr>
              <w:t>релевантним министарствима и подносиоцима нацрта грант апликација</w:t>
            </w:r>
            <w:r w:rsidRPr="00E070E8">
              <w:rPr>
                <w:lang w:val="sr-Cyrl-BA"/>
              </w:rPr>
              <w:t xml:space="preserve">. 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Фаза 3</w:t>
            </w:r>
          </w:p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Консултације и унапређење квалитета грант апликација</w:t>
            </w:r>
          </w:p>
        </w:tc>
      </w:tr>
      <w:tr w:rsidR="00D715C4" w:rsidRPr="00E070E8" w:rsidTr="0094027F">
        <w:trPr>
          <w:gridAfter w:val="1"/>
          <w:wAfter w:w="24" w:type="dxa"/>
          <w:trHeight w:val="573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7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7"/>
              <w:jc w:val="both"/>
              <w:rPr>
                <w:lang w:val="sr-Cyrl-BA"/>
              </w:rPr>
            </w:pPr>
            <w:r>
              <w:rPr>
                <w:lang w:val="sr-Cyrl-BA"/>
              </w:rPr>
              <w:t>Апликанти из Републике Српске</w:t>
            </w:r>
            <w:r w:rsidRPr="00E070E8">
              <w:rPr>
                <w:lang w:val="sr-Cyrl-BA"/>
              </w:rPr>
              <w:t xml:space="preserve"> </w:t>
            </w:r>
            <w:r w:rsidR="007E46AC">
              <w:rPr>
                <w:lang w:val="sr-Cyrl-BA"/>
              </w:rPr>
              <w:t>ревидирају садржај</w:t>
            </w:r>
            <w:r>
              <w:rPr>
                <w:lang w:val="sr-Cyrl-BA"/>
              </w:rPr>
              <w:t xml:space="preserve"> </w:t>
            </w:r>
            <w:r w:rsidR="007E46AC">
              <w:rPr>
                <w:lang w:val="sr-Cyrl-BA"/>
              </w:rPr>
              <w:t xml:space="preserve">нацрта </w:t>
            </w:r>
            <w:r>
              <w:rPr>
                <w:lang w:val="sr-Cyrl-BA"/>
              </w:rPr>
              <w:t xml:space="preserve">грант апликација у складу са </w:t>
            </w:r>
            <w:r w:rsidRPr="00E070E8">
              <w:rPr>
                <w:lang w:val="sr-Cyrl-BA"/>
              </w:rPr>
              <w:t>д</w:t>
            </w:r>
            <w:r>
              <w:rPr>
                <w:lang w:val="sr-Cyrl-BA"/>
              </w:rPr>
              <w:t xml:space="preserve">остављеним </w:t>
            </w:r>
            <w:r w:rsidRPr="00E070E8">
              <w:rPr>
                <w:lang w:val="sr-Cyrl-BA"/>
              </w:rPr>
              <w:t>коментар</w:t>
            </w:r>
            <w:r>
              <w:rPr>
                <w:lang w:val="sr-Cyrl-BA"/>
              </w:rPr>
              <w:t>им</w:t>
            </w:r>
            <w:r w:rsidRPr="00E070E8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. </w:t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blPrEx>
          <w:tblCellMar>
            <w:right w:w="12" w:type="dxa"/>
          </w:tblCellMar>
        </w:tblPrEx>
        <w:trPr>
          <w:gridBefore w:val="1"/>
          <w:wBefore w:w="24" w:type="dxa"/>
          <w:trHeight w:val="843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5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45"/>
              <w:jc w:val="both"/>
              <w:rPr>
                <w:lang w:val="sr-Cyrl-BA"/>
              </w:rPr>
            </w:pPr>
            <w:r>
              <w:rPr>
                <w:lang w:val="sr-Cyrl-BA"/>
              </w:rPr>
              <w:t>Апликанти из Републике Српске</w:t>
            </w:r>
            <w:r w:rsidRPr="00E070E8">
              <w:rPr>
                <w:lang w:val="sr-Cyrl-BA"/>
              </w:rPr>
              <w:t xml:space="preserve"> достављају </w:t>
            </w:r>
            <w:r>
              <w:rPr>
                <w:lang w:val="sr-Cyrl-BA"/>
              </w:rPr>
              <w:t xml:space="preserve">у року који одреди МЕОРС, финалне верзије </w:t>
            </w:r>
            <w:r w:rsidRPr="00E070E8">
              <w:rPr>
                <w:lang w:val="sr-Cyrl-BA"/>
              </w:rPr>
              <w:t>нацрта грант апликациј</w:t>
            </w:r>
            <w:r>
              <w:rPr>
                <w:lang w:val="sr-Cyrl-BA"/>
              </w:rPr>
              <w:t>а,</w:t>
            </w:r>
            <w:r w:rsidRPr="00E070E8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ревидиране у складу са датим коментарима, </w:t>
            </w:r>
            <w:r w:rsidRPr="00E070E8">
              <w:rPr>
                <w:lang w:val="sr-Cyrl-BA"/>
              </w:rPr>
              <w:t xml:space="preserve">релевантном </w:t>
            </w:r>
            <w:r>
              <w:rPr>
                <w:lang w:val="sr-Cyrl-BA"/>
              </w:rPr>
              <w:t>министарству у Влади Републике Српске</w:t>
            </w:r>
            <w:r w:rsidRPr="00E070E8">
              <w:rPr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Фаза 4</w:t>
            </w:r>
          </w:p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Финализација и оцјена грант апликација са приједлогом</w:t>
            </w:r>
          </w:p>
          <w:p w:rsidR="00D715C4" w:rsidRPr="00E070E8" w:rsidRDefault="00D715C4" w:rsidP="00D715C4">
            <w:pPr>
              <w:ind w:right="70"/>
              <w:jc w:val="center"/>
              <w:rPr>
                <w:lang w:val="sr-Cyrl-BA"/>
              </w:rPr>
            </w:pPr>
            <w:r w:rsidRPr="00E070E8">
              <w:rPr>
                <w:lang w:val="sr-Cyrl-BA"/>
              </w:rPr>
              <w:t>листе за усвајање</w:t>
            </w:r>
          </w:p>
        </w:tc>
      </w:tr>
      <w:tr w:rsidR="00D715C4" w:rsidRPr="00E070E8" w:rsidTr="0094027F">
        <w:tblPrEx>
          <w:tblCellMar>
            <w:right w:w="12" w:type="dxa"/>
          </w:tblCellMar>
        </w:tblPrEx>
        <w:trPr>
          <w:gridBefore w:val="1"/>
          <w:wBefore w:w="24" w:type="dxa"/>
          <w:trHeight w:val="510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94027F" w:rsidP="0094027F">
            <w:pPr>
              <w:ind w:right="95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14. фебруар 2019. 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 xml:space="preserve">Министарства у Влади Републике Српске достављају </w:t>
            </w:r>
            <w:r>
              <w:rPr>
                <w:lang w:val="sr-Cyrl-BA"/>
              </w:rPr>
              <w:t>финалне верзије</w:t>
            </w:r>
            <w:r w:rsidRPr="00E070E8">
              <w:rPr>
                <w:lang w:val="sr-Cyrl-BA"/>
              </w:rPr>
              <w:t xml:space="preserve"> грант апликациј</w:t>
            </w:r>
            <w:r>
              <w:rPr>
                <w:lang w:val="sr-Cyrl-BA"/>
              </w:rPr>
              <w:t>а апликаната из Републике Српске</w:t>
            </w:r>
            <w:r w:rsidRPr="00E070E8">
              <w:rPr>
                <w:lang w:val="sr-Cyrl-BA"/>
              </w:rPr>
              <w:t xml:space="preserve"> МЕОРС-у</w:t>
            </w:r>
            <w:r>
              <w:rPr>
                <w:lang w:val="sr-Cyrl-BA"/>
              </w:rPr>
              <w:t xml:space="preserve"> у дефинисаном року</w:t>
            </w:r>
            <w:r w:rsidRPr="00E070E8">
              <w:rPr>
                <w:lang w:val="sr-Cyrl-BA"/>
              </w:rPr>
              <w:t xml:space="preserve">.  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blPrEx>
          <w:tblCellMar>
            <w:right w:w="12" w:type="dxa"/>
          </w:tblCellMar>
        </w:tblPrEx>
        <w:trPr>
          <w:gridBefore w:val="1"/>
          <w:wBefore w:w="24" w:type="dxa"/>
          <w:trHeight w:val="681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>Министарство финансија Републике Српске</w:t>
            </w:r>
            <w:r>
              <w:t>,</w:t>
            </w:r>
            <w:r>
              <w:rPr>
                <w:lang w:val="sr-Cyrl-BA"/>
              </w:rPr>
              <w:t xml:space="preserve"> након </w:t>
            </w:r>
            <w:r w:rsidRPr="00E070E8">
              <w:rPr>
                <w:lang w:val="sr-Cyrl-BA"/>
              </w:rPr>
              <w:t>провјер</w:t>
            </w:r>
            <w:r>
              <w:rPr>
                <w:lang w:val="sr-Cyrl-BA"/>
              </w:rPr>
              <w:t>е</w:t>
            </w:r>
            <w:r w:rsidRPr="00E070E8">
              <w:rPr>
                <w:lang w:val="sr-Cyrl-BA"/>
              </w:rPr>
              <w:t xml:space="preserve"> статус</w:t>
            </w:r>
            <w:r>
              <w:rPr>
                <w:lang w:val="sr-Cyrl-BA"/>
              </w:rPr>
              <w:t>а</w:t>
            </w:r>
            <w:r w:rsidRPr="00E070E8">
              <w:rPr>
                <w:lang w:val="sr-Cyrl-BA"/>
              </w:rPr>
              <w:t xml:space="preserve"> кредит</w:t>
            </w:r>
            <w:r>
              <w:rPr>
                <w:lang w:val="sr-Cyrl-BA"/>
              </w:rPr>
              <w:t>ног аранжмана</w:t>
            </w:r>
            <w:r w:rsidRPr="00E070E8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(</w:t>
            </w:r>
            <w:r w:rsidRPr="00E070E8">
              <w:rPr>
                <w:lang w:val="sr-Cyrl-BA"/>
              </w:rPr>
              <w:t>и праг</w:t>
            </w:r>
            <w:r>
              <w:rPr>
                <w:lang w:val="sr-Cyrl-BA"/>
              </w:rPr>
              <w:t>а</w:t>
            </w:r>
            <w:r w:rsidRPr="00E070E8">
              <w:rPr>
                <w:lang w:val="sr-Cyrl-BA"/>
              </w:rPr>
              <w:t xml:space="preserve"> задужености ЈЛС</w:t>
            </w:r>
            <w:r>
              <w:rPr>
                <w:lang w:val="sr-Cyrl-BA"/>
              </w:rPr>
              <w:t xml:space="preserve"> уколико је ЈЛС подносилац апликације која подразумијева ново кредитно задужење)</w:t>
            </w:r>
            <w:r w:rsidRPr="00E070E8">
              <w:rPr>
                <w:lang w:val="sr-Cyrl-BA"/>
              </w:rPr>
              <w:t xml:space="preserve"> за грант апликације кандидоване из Републике Српске</w:t>
            </w:r>
            <w:r>
              <w:t>,</w:t>
            </w:r>
            <w:r w:rsidRPr="00E070E8">
              <w:rPr>
                <w:lang w:val="sr-Cyrl-BA"/>
              </w:rPr>
              <w:t xml:space="preserve"> информише МЕОРС и релевантно министарство у Влади Републике Српске о стању и евентуалним сметњама за закључивање потенцијалног кредитног аранжмана наведеног у грант апликацији.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blPrEx>
          <w:tblCellMar>
            <w:right w:w="12" w:type="dxa"/>
          </w:tblCellMar>
        </w:tblPrEx>
        <w:trPr>
          <w:gridBefore w:val="1"/>
          <w:wBefore w:w="24" w:type="dxa"/>
          <w:trHeight w:val="564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>Министарства у Влади Републике Српске</w:t>
            </w:r>
            <w:r w:rsidR="007E46AC">
              <w:rPr>
                <w:lang w:val="sr-Cyrl-BA"/>
              </w:rPr>
              <w:t xml:space="preserve">, након сагласности </w:t>
            </w:r>
            <w:r w:rsidRPr="00E070E8">
              <w:rPr>
                <w:lang w:val="sr-Cyrl-BA"/>
              </w:rPr>
              <w:t xml:space="preserve"> </w:t>
            </w:r>
            <w:r w:rsidR="007E46AC">
              <w:rPr>
                <w:lang w:val="sr-Cyrl-BA"/>
              </w:rPr>
              <w:t>Министарства</w:t>
            </w:r>
            <w:r w:rsidR="007E46AC" w:rsidRPr="00E070E8">
              <w:rPr>
                <w:lang w:val="sr-Cyrl-BA"/>
              </w:rPr>
              <w:t xml:space="preserve"> финансија Републике Српске</w:t>
            </w:r>
            <w:r w:rsidR="007E46AC">
              <w:rPr>
                <w:lang w:val="sr-Cyrl-BA"/>
              </w:rPr>
              <w:t>,</w:t>
            </w:r>
            <w:r w:rsidR="007E46AC" w:rsidRPr="00E070E8">
              <w:rPr>
                <w:lang w:val="sr-Cyrl-BA"/>
              </w:rPr>
              <w:t xml:space="preserve"> </w:t>
            </w:r>
            <w:r w:rsidRPr="00E070E8">
              <w:rPr>
                <w:lang w:val="sr-Cyrl-BA"/>
              </w:rPr>
              <w:t xml:space="preserve">достављају </w:t>
            </w:r>
            <w:r>
              <w:rPr>
                <w:color w:val="000000" w:themeColor="text1"/>
                <w:lang w:val="sr-Cyrl-BA"/>
              </w:rPr>
              <w:t>посредством службеног дописа и електронске поште</w:t>
            </w:r>
            <w:r>
              <w:rPr>
                <w:lang w:val="sr-Cyrl-BA"/>
              </w:rPr>
              <w:t xml:space="preserve"> финалне верзије</w:t>
            </w:r>
            <w:r w:rsidRPr="00E070E8">
              <w:rPr>
                <w:lang w:val="sr-Cyrl-BA"/>
              </w:rPr>
              <w:t xml:space="preserve"> грант апликациј</w:t>
            </w:r>
            <w:r>
              <w:rPr>
                <w:lang w:val="sr-Cyrl-BA"/>
              </w:rPr>
              <w:t>а апликаната из Републике Српске</w:t>
            </w:r>
            <w:r w:rsidRPr="00E070E8">
              <w:rPr>
                <w:lang w:val="sr-Cyrl-BA"/>
              </w:rPr>
              <w:t xml:space="preserve"> МЕОРС-у</w:t>
            </w:r>
            <w:r>
              <w:rPr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  <w:tr w:rsidR="00D715C4" w:rsidRPr="00E070E8" w:rsidTr="0094027F">
        <w:tblPrEx>
          <w:tblCellMar>
            <w:right w:w="12" w:type="dxa"/>
          </w:tblCellMar>
        </w:tblPrEx>
        <w:trPr>
          <w:gridBefore w:val="1"/>
          <w:wBefore w:w="24" w:type="dxa"/>
          <w:trHeight w:val="563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ind w:right="95"/>
              <w:jc w:val="both"/>
              <w:rPr>
                <w:lang w:val="sr-Cyrl-BA"/>
              </w:rPr>
            </w:pPr>
            <w:r w:rsidRPr="00E070E8">
              <w:rPr>
                <w:lang w:val="sr-Cyrl-BA"/>
              </w:rPr>
              <w:t xml:space="preserve">МЕОРС доставља </w:t>
            </w:r>
            <w:r w:rsidR="00D25000">
              <w:rPr>
                <w:color w:val="000000" w:themeColor="text1"/>
                <w:lang w:val="sr-Cyrl-BA"/>
              </w:rPr>
              <w:t xml:space="preserve">посредством службеног дописа </w:t>
            </w:r>
            <w:r w:rsidR="003C7AD5">
              <w:rPr>
                <w:lang w:val="sr-Cyrl-BA"/>
              </w:rPr>
              <w:t xml:space="preserve">и електронском поштом </w:t>
            </w:r>
            <w:r w:rsidRPr="00E070E8">
              <w:rPr>
                <w:lang w:val="sr-Cyrl-BA"/>
              </w:rPr>
              <w:t>финалне верзије грант апликација кандидованих из Републике Српске</w:t>
            </w:r>
            <w:r>
              <w:rPr>
                <w:lang w:val="sr-Cyrl-BA"/>
              </w:rPr>
              <w:t>,</w:t>
            </w:r>
            <w:r w:rsidRPr="00E070E8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које имају сагласност Министарства финансија и ресорно надлежног/их министарства/ава у Влади Републике Српске, </w:t>
            </w:r>
            <w:r w:rsidRPr="00E070E8">
              <w:rPr>
                <w:lang w:val="sr-Cyrl-BA"/>
              </w:rPr>
              <w:t>Дирекцији за европске интеграције</w:t>
            </w:r>
            <w:r>
              <w:rPr>
                <w:lang w:val="sr-Cyrl-BA"/>
              </w:rPr>
              <w:t xml:space="preserve"> и копију дописа </w:t>
            </w:r>
            <w:r w:rsidRPr="00E070E8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министарству на нивоу БиХ.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5C4" w:rsidRPr="00E070E8" w:rsidRDefault="00D715C4" w:rsidP="00D715C4">
            <w:pPr>
              <w:jc w:val="center"/>
              <w:rPr>
                <w:lang w:val="sr-Cyrl-BA"/>
              </w:rPr>
            </w:pPr>
          </w:p>
        </w:tc>
      </w:tr>
    </w:tbl>
    <w:p w:rsidR="00603A78" w:rsidRPr="00E070E8" w:rsidRDefault="00603A78" w:rsidP="00FD3A29">
      <w:pPr>
        <w:spacing w:after="0" w:line="240" w:lineRule="auto"/>
        <w:rPr>
          <w:lang w:val="sr-Cyrl-BA"/>
        </w:rPr>
      </w:pPr>
    </w:p>
    <w:sectPr w:rsidR="00603A78" w:rsidRPr="00E070E8" w:rsidSect="002D1273">
      <w:pgSz w:w="11906" w:h="16838"/>
      <w:pgMar w:top="746" w:right="1106" w:bottom="90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78"/>
    <w:rsid w:val="00151309"/>
    <w:rsid w:val="002B4B8C"/>
    <w:rsid w:val="002D1273"/>
    <w:rsid w:val="003C7AD5"/>
    <w:rsid w:val="004D4892"/>
    <w:rsid w:val="005024CA"/>
    <w:rsid w:val="005242E0"/>
    <w:rsid w:val="0053380F"/>
    <w:rsid w:val="00551762"/>
    <w:rsid w:val="005F5541"/>
    <w:rsid w:val="00603A78"/>
    <w:rsid w:val="007E46AC"/>
    <w:rsid w:val="0094027F"/>
    <w:rsid w:val="009416E7"/>
    <w:rsid w:val="00954D19"/>
    <w:rsid w:val="009D5A1E"/>
    <w:rsid w:val="009E26C4"/>
    <w:rsid w:val="00A85DDF"/>
    <w:rsid w:val="00B40384"/>
    <w:rsid w:val="00D25000"/>
    <w:rsid w:val="00D715C4"/>
    <w:rsid w:val="00DB7017"/>
    <w:rsid w:val="00E070E8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92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9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1AC73D-9A48-4C24-A1D8-61EC77C8E0B3}"/>
</file>

<file path=customXml/itemProps2.xml><?xml version="1.0" encoding="utf-8"?>
<ds:datastoreItem xmlns:ds="http://schemas.openxmlformats.org/officeDocument/2006/customXml" ds:itemID="{B202BFC8-2B68-4819-8F8E-54C532BC9B60}"/>
</file>

<file path=customXml/itemProps3.xml><?xml version="1.0" encoding="utf-8"?>
<ds:datastoreItem xmlns:ds="http://schemas.openxmlformats.org/officeDocument/2006/customXml" ds:itemID="{74548703-C556-47B0-97CE-5A02EE594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Granov</dc:creator>
  <cp:lastModifiedBy>Dragana Radjan</cp:lastModifiedBy>
  <cp:revision>2</cp:revision>
  <cp:lastPrinted>2018-07-09T11:08:00Z</cp:lastPrinted>
  <dcterms:created xsi:type="dcterms:W3CDTF">2018-12-24T14:10:00Z</dcterms:created>
  <dcterms:modified xsi:type="dcterms:W3CDTF">2018-12-24T14:10:00Z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